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65EA85" w14:textId="77777777" w:rsidR="008D3EFE" w:rsidRPr="001E4C5C" w:rsidRDefault="008D3EFE" w:rsidP="008D3EFE">
      <w:pPr>
        <w:tabs>
          <w:tab w:val="left" w:pos="1410"/>
        </w:tabs>
        <w:rPr>
          <w:rFonts w:ascii="Century Gothic" w:hAnsi="Century Gothic"/>
          <w:b/>
          <w:bCs/>
          <w:color w:val="ED7D31" w:themeColor="accent2"/>
          <w:sz w:val="28"/>
        </w:rPr>
      </w:pPr>
      <w:r w:rsidRPr="001E4C5C">
        <w:rPr>
          <w:rFonts w:ascii="Century Gothic" w:hAnsi="Century Gothic"/>
          <w:b/>
          <w:bCs/>
          <w:color w:val="ED7D31" w:themeColor="accent2"/>
          <w:sz w:val="28"/>
        </w:rPr>
        <w:t>Internationales Märchenbuch</w:t>
      </w:r>
      <w:r>
        <w:rPr>
          <w:rFonts w:ascii="Century Gothic" w:hAnsi="Century Gothic"/>
          <w:b/>
          <w:bCs/>
          <w:color w:val="ED7D31" w:themeColor="accent2"/>
          <w:sz w:val="28"/>
        </w:rPr>
        <w:t xml:space="preserve"> – Jahrgangsstufe 5</w:t>
      </w:r>
    </w:p>
    <w:p w14:paraId="60E29C39" w14:textId="77777777" w:rsidR="008D3EFE" w:rsidRDefault="008D3EFE" w:rsidP="008D3EFE">
      <w:pPr>
        <w:tabs>
          <w:tab w:val="left" w:pos="1410"/>
        </w:tabs>
        <w:jc w:val="both"/>
        <w:rPr>
          <w:rFonts w:ascii="Century Gothic" w:hAnsi="Century Gothic"/>
          <w:i/>
          <w:sz w:val="4"/>
        </w:rPr>
      </w:pPr>
      <w:r w:rsidRPr="001E4C5C">
        <w:rPr>
          <w:rFonts w:ascii="Century Gothic" w:hAnsi="Century Gothic"/>
          <w:i/>
          <w:noProof/>
          <w:sz w:val="4"/>
        </w:rPr>
        <mc:AlternateContent>
          <mc:Choice Requires="wps">
            <w:drawing>
              <wp:anchor distT="45720" distB="45720" distL="114300" distR="114300" simplePos="0" relativeHeight="251659264" behindDoc="0" locked="0" layoutInCell="1" allowOverlap="1" wp14:anchorId="1E2EB129" wp14:editId="004F30C3">
                <wp:simplePos x="0" y="0"/>
                <wp:positionH relativeFrom="column">
                  <wp:posOffset>0</wp:posOffset>
                </wp:positionH>
                <wp:positionV relativeFrom="paragraph">
                  <wp:posOffset>14444</wp:posOffset>
                </wp:positionV>
                <wp:extent cx="5745480" cy="1404620"/>
                <wp:effectExtent l="0" t="0" r="26670" b="1841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404620"/>
                        </a:xfrm>
                        <a:prstGeom prst="rect">
                          <a:avLst/>
                        </a:prstGeom>
                        <a:solidFill>
                          <a:schemeClr val="accent2">
                            <a:lumMod val="20000"/>
                            <a:lumOff val="80000"/>
                          </a:schemeClr>
                        </a:solidFill>
                        <a:ln w="9525">
                          <a:solidFill>
                            <a:srgbClr val="000000"/>
                          </a:solidFill>
                          <a:miter lim="800000"/>
                          <a:headEnd/>
                          <a:tailEnd/>
                        </a:ln>
                      </wps:spPr>
                      <wps:txbx>
                        <w:txbxContent>
                          <w:p w14:paraId="0C9FEA6C" w14:textId="77777777" w:rsidR="008D3EFE" w:rsidRPr="001E4C5C" w:rsidRDefault="008D3EFE" w:rsidP="008D3EFE">
                            <w:pPr>
                              <w:tabs>
                                <w:tab w:val="left" w:pos="1410"/>
                              </w:tabs>
                              <w:rPr>
                                <w:rFonts w:ascii="Century Gothic" w:hAnsi="Century Gothic"/>
                                <w:b/>
                                <w:bCs/>
                                <w:i/>
                              </w:rPr>
                            </w:pPr>
                            <w:r>
                              <w:rPr>
                                <w:rFonts w:ascii="Century Gothic" w:hAnsi="Century Gothic"/>
                                <w:b/>
                                <w:bCs/>
                                <w:i/>
                              </w:rPr>
                              <w:t>5.</w:t>
                            </w:r>
                            <w:r w:rsidRPr="001E4C5C">
                              <w:rPr>
                                <w:rFonts w:ascii="Century Gothic" w:hAnsi="Century Gothic"/>
                                <w:b/>
                                <w:bCs/>
                                <w:i/>
                              </w:rPr>
                              <w:t>2.2 Literarische Texte verstehen und nutzen</w:t>
                            </w:r>
                          </w:p>
                          <w:p w14:paraId="6DF0DD24" w14:textId="77777777" w:rsidR="008D3EFE" w:rsidRPr="001E4C5C" w:rsidRDefault="008D3EFE" w:rsidP="008D3EFE">
                            <w:pPr>
                              <w:tabs>
                                <w:tab w:val="left" w:pos="1410"/>
                              </w:tabs>
                              <w:jc w:val="both"/>
                              <w:rPr>
                                <w:rFonts w:ascii="Century Gothic" w:hAnsi="Century Gothic"/>
                                <w:i/>
                              </w:rPr>
                            </w:pPr>
                            <w:r w:rsidRPr="001E4C5C">
                              <w:rPr>
                                <w:rFonts w:ascii="Century Gothic" w:hAnsi="Century Gothic"/>
                                <w:i/>
                              </w:rPr>
                              <w:t>Die Schülerinnen und Schüler unterscheiden epische Kleinformen wie Märchen und Fabel sowie Erzähltext und Gedicht anhand erarbeiteter Kriterien.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03635D" id="_x0000_t202" coordsize="21600,21600" o:spt="202" path="m,l,21600r21600,l21600,xe">
                <v:stroke joinstyle="miter"/>
                <v:path gradientshapeok="t" o:connecttype="rect"/>
              </v:shapetype>
              <v:shape id="Textfeld 2" o:spid="_x0000_s1026" type="#_x0000_t202" style="position:absolute;left:0;text-align:left;margin-left:0;margin-top:1.15pt;width:452.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" fillcolor="#fbe4d5 [661]">
                <v:textbox style="mso-fit-shape-to-text:t">
                  <w:txbxContent>
                    <w:p w:rsidR="008D3EFE" w:rsidRPr="001E4C5C" w:rsidRDefault="008D3EFE" w:rsidP="008D3EFE">
                      <w:pPr>
                        <w:tabs>
                          <w:tab w:val="left" w:pos="1410"/>
                        </w:tabs>
                        <w:rPr>
                          <w:rFonts w:ascii="Century Gothic" w:hAnsi="Century Gothic"/>
                          <w:b/>
                          <w:bCs/>
                          <w:i/>
                        </w:rPr>
                      </w:pPr>
                      <w:r>
                        <w:rPr>
                          <w:rFonts w:ascii="Century Gothic" w:hAnsi="Century Gothic"/>
                          <w:b/>
                          <w:bCs/>
                          <w:i/>
                        </w:rPr>
                        <w:t>5.</w:t>
                      </w:r>
                      <w:r w:rsidRPr="001E4C5C">
                        <w:rPr>
                          <w:rFonts w:ascii="Century Gothic" w:hAnsi="Century Gothic"/>
                          <w:b/>
                          <w:bCs/>
                          <w:i/>
                        </w:rPr>
                        <w:t>2.2 Literarische Texte verstehen und nutzen</w:t>
                      </w:r>
                    </w:p>
                    <w:p w:rsidR="008D3EFE" w:rsidRPr="001E4C5C" w:rsidRDefault="008D3EFE" w:rsidP="008D3EFE">
                      <w:pPr>
                        <w:tabs>
                          <w:tab w:val="left" w:pos="1410"/>
                        </w:tabs>
                        <w:jc w:val="both"/>
                        <w:rPr>
                          <w:rFonts w:ascii="Century Gothic" w:hAnsi="Century Gothic"/>
                          <w:i/>
                        </w:rPr>
                      </w:pPr>
                      <w:r w:rsidRPr="001E4C5C">
                        <w:rPr>
                          <w:rFonts w:ascii="Century Gothic" w:hAnsi="Century Gothic"/>
                          <w:i/>
                        </w:rPr>
                        <w:t>Die Schülerinnen und Schüler unterscheiden epische Kleinformen wie Märchen und Fabel sowie Erzähltext und Gedicht anhand erarbeiteter Kriterien.</w:t>
                      </w:r>
                    </w:p>
                  </w:txbxContent>
                </v:textbox>
              </v:shape>
            </w:pict>
          </mc:Fallback>
        </mc:AlternateContent>
      </w:r>
    </w:p>
    <w:p w14:paraId="7090217B" w14:textId="77777777" w:rsidR="008D3EFE" w:rsidRDefault="008D3EFE" w:rsidP="008D3EFE">
      <w:pPr>
        <w:tabs>
          <w:tab w:val="left" w:pos="1410"/>
        </w:tabs>
        <w:jc w:val="both"/>
        <w:rPr>
          <w:rFonts w:ascii="Century Gothic" w:hAnsi="Century Gothic"/>
          <w:i/>
          <w:sz w:val="4"/>
        </w:rPr>
      </w:pPr>
    </w:p>
    <w:p w14:paraId="64614DB0" w14:textId="77777777" w:rsidR="008D3EFE" w:rsidRDefault="008D3EFE" w:rsidP="008D3EFE">
      <w:pPr>
        <w:tabs>
          <w:tab w:val="left" w:pos="1410"/>
        </w:tabs>
        <w:jc w:val="both"/>
        <w:rPr>
          <w:rFonts w:ascii="Century Gothic" w:hAnsi="Century Gothic"/>
          <w:i/>
          <w:sz w:val="4"/>
        </w:rPr>
      </w:pPr>
    </w:p>
    <w:p w14:paraId="03EE4942" w14:textId="77777777" w:rsidR="008D3EFE" w:rsidRDefault="008D3EFE" w:rsidP="008D3EFE">
      <w:pPr>
        <w:tabs>
          <w:tab w:val="left" w:pos="1410"/>
        </w:tabs>
        <w:jc w:val="both"/>
        <w:rPr>
          <w:rFonts w:ascii="Century Gothic" w:hAnsi="Century Gothic"/>
          <w:i/>
          <w:sz w:val="4"/>
        </w:rPr>
      </w:pPr>
    </w:p>
    <w:p w14:paraId="677D272A" w14:textId="77777777" w:rsidR="008D3EFE" w:rsidRDefault="008D3EFE" w:rsidP="008D3EFE">
      <w:pPr>
        <w:tabs>
          <w:tab w:val="left" w:pos="1410"/>
        </w:tabs>
        <w:jc w:val="both"/>
        <w:rPr>
          <w:rFonts w:ascii="Century Gothic" w:hAnsi="Century Gothic"/>
          <w:i/>
          <w:sz w:val="4"/>
        </w:rPr>
      </w:pPr>
    </w:p>
    <w:p w14:paraId="47546D52" w14:textId="77777777" w:rsidR="008D3EFE" w:rsidRDefault="008D3EFE" w:rsidP="008D3EFE">
      <w:pPr>
        <w:tabs>
          <w:tab w:val="left" w:pos="1410"/>
        </w:tabs>
        <w:jc w:val="both"/>
        <w:rPr>
          <w:rFonts w:ascii="Century Gothic" w:hAnsi="Century Gothic"/>
          <w:i/>
          <w:sz w:val="4"/>
        </w:rPr>
      </w:pPr>
    </w:p>
    <w:p w14:paraId="0CF2AE52" w14:textId="77777777" w:rsidR="008D3EFE" w:rsidRDefault="008D3EFE" w:rsidP="008D3EFE">
      <w:pPr>
        <w:tabs>
          <w:tab w:val="left" w:pos="1410"/>
        </w:tabs>
        <w:jc w:val="both"/>
        <w:rPr>
          <w:rFonts w:ascii="Century Gothic" w:hAnsi="Century Gothic"/>
          <w:i/>
          <w:sz w:val="4"/>
        </w:rPr>
      </w:pPr>
    </w:p>
    <w:p w14:paraId="551636DC" w14:textId="77777777" w:rsidR="008D3EFE" w:rsidRPr="001E4C5C" w:rsidRDefault="008D3EFE" w:rsidP="008D3EFE">
      <w:pPr>
        <w:tabs>
          <w:tab w:val="left" w:pos="1410"/>
        </w:tabs>
        <w:jc w:val="both"/>
        <w:rPr>
          <w:rFonts w:ascii="Century Gothic" w:hAnsi="Century Gothic"/>
          <w:i/>
          <w:sz w:val="4"/>
        </w:rPr>
      </w:pPr>
    </w:p>
    <w:p w14:paraId="5043832B" w14:textId="77777777" w:rsidR="008D3EFE" w:rsidRPr="001E4C5C" w:rsidRDefault="008D3EFE" w:rsidP="008D3EFE">
      <w:pPr>
        <w:numPr>
          <w:ilvl w:val="0"/>
          <w:numId w:val="1"/>
        </w:numPr>
        <w:tabs>
          <w:tab w:val="left" w:pos="1410"/>
        </w:tabs>
        <w:ind w:left="426"/>
        <w:jc w:val="both"/>
        <w:rPr>
          <w:rFonts w:ascii="Century Gothic" w:hAnsi="Century Gothic"/>
        </w:rPr>
      </w:pPr>
      <w:r w:rsidRPr="001E4C5C">
        <w:rPr>
          <w:rFonts w:ascii="Century Gothic" w:hAnsi="Century Gothic"/>
        </w:rPr>
        <w:t xml:space="preserve">Gemeinsames Lernen: Ein Märchen wird im Unterricht inhaltlich und gehaltlich erschlossen – eine Vergleichsgrundlage ist geschaffen. </w:t>
      </w:r>
    </w:p>
    <w:p w14:paraId="490BDC04" w14:textId="77777777" w:rsidR="008D3EFE" w:rsidRPr="001E4C5C" w:rsidRDefault="008D3EFE" w:rsidP="008D3EFE">
      <w:pPr>
        <w:numPr>
          <w:ilvl w:val="0"/>
          <w:numId w:val="1"/>
        </w:numPr>
        <w:tabs>
          <w:tab w:val="left" w:pos="1410"/>
        </w:tabs>
        <w:ind w:left="426"/>
        <w:jc w:val="both"/>
        <w:rPr>
          <w:rFonts w:ascii="Century Gothic" w:hAnsi="Century Gothic"/>
        </w:rPr>
      </w:pPr>
      <w:r w:rsidRPr="001E4C5C">
        <w:rPr>
          <w:rFonts w:ascii="Century Gothic" w:hAnsi="Century Gothic"/>
        </w:rPr>
        <w:t xml:space="preserve">Die Lehrkraft stellt </w:t>
      </w:r>
      <w:bookmarkStart w:id="0" w:name="_GoBack"/>
      <w:bookmarkEnd w:id="0"/>
      <w:r w:rsidRPr="001E4C5C">
        <w:rPr>
          <w:rFonts w:ascii="Century Gothic" w:hAnsi="Century Gothic"/>
        </w:rPr>
        <w:t>eine breite Auswahl an (eher unbekannten) Märchen zur Verfügung. Schülerinnen und Schüler mit Migrationsgeschichte sind aufgefordert, Märchen aus dem Herkunftsland einzubringen. Ziel ist es, Gemeinsamkeiten und Unterschiede der Märchen aus den verschiedenen Ländern herauszuarbeiten (Merkmale, Figuren, Themenschwerpunkt).</w:t>
      </w:r>
    </w:p>
    <w:p w14:paraId="670465A9" w14:textId="77777777" w:rsidR="008D3EFE" w:rsidRPr="001E4C5C" w:rsidRDefault="008D3EFE" w:rsidP="008D3EFE">
      <w:pPr>
        <w:numPr>
          <w:ilvl w:val="0"/>
          <w:numId w:val="3"/>
        </w:numPr>
        <w:tabs>
          <w:tab w:val="left" w:pos="1410"/>
        </w:tabs>
        <w:ind w:left="851"/>
        <w:jc w:val="both"/>
        <w:rPr>
          <w:rFonts w:ascii="Century Gothic" w:hAnsi="Century Gothic"/>
        </w:rPr>
      </w:pPr>
      <w:r w:rsidRPr="001E4C5C">
        <w:rPr>
          <w:rFonts w:ascii="Century Gothic" w:hAnsi="Century Gothic"/>
        </w:rPr>
        <w:t>Jede Schülerin, jeder Schüler wählt ein Märchen, das selbstständig erschlossen und vorgestellt wird. Kinder mit nichtdeutscher Muttersprache – vor allem mit niedrigem Sprachstand – wählen ein Märchen ihres Herkunftslandes/aus dem Sprachraum ihrer Erstsprache.</w:t>
      </w:r>
    </w:p>
    <w:p w14:paraId="2EBCE6ED" w14:textId="77777777" w:rsidR="008D3EFE" w:rsidRPr="001E4C5C" w:rsidRDefault="008D3EFE" w:rsidP="008D3EFE">
      <w:pPr>
        <w:numPr>
          <w:ilvl w:val="0"/>
          <w:numId w:val="3"/>
        </w:numPr>
        <w:tabs>
          <w:tab w:val="left" w:pos="1410"/>
        </w:tabs>
        <w:ind w:left="851"/>
        <w:jc w:val="both"/>
        <w:rPr>
          <w:rFonts w:ascii="Century Gothic" w:hAnsi="Century Gothic"/>
        </w:rPr>
      </w:pPr>
      <w:r w:rsidRPr="001E4C5C">
        <w:rPr>
          <w:rFonts w:ascii="Century Gothic" w:hAnsi="Century Gothic"/>
        </w:rPr>
        <w:t>Bei fremdsprachigen Märchen (z. B. ukrainisch, arabisch) kann der Text oder können Passagen mithilfe von KI übersetzt werden. Dies sollte in der Schule mit Unterstützung der Lehrkraft erfolgen. Zudem sollte die Lehrkraft den von KI übersetzten Märchentext korrigierend gegenlesen.</w:t>
      </w:r>
    </w:p>
    <w:p w14:paraId="1FF3E678" w14:textId="77777777" w:rsidR="008D3EFE" w:rsidRPr="001E4C5C" w:rsidRDefault="008D3EFE" w:rsidP="008D3EFE">
      <w:pPr>
        <w:numPr>
          <w:ilvl w:val="0"/>
          <w:numId w:val="3"/>
        </w:numPr>
        <w:tabs>
          <w:tab w:val="left" w:pos="1410"/>
        </w:tabs>
        <w:ind w:left="851"/>
        <w:jc w:val="both"/>
        <w:rPr>
          <w:rFonts w:ascii="Century Gothic" w:hAnsi="Century Gothic"/>
        </w:rPr>
      </w:pPr>
      <w:r w:rsidRPr="001E4C5C">
        <w:rPr>
          <w:rFonts w:ascii="Century Gothic" w:hAnsi="Century Gothic"/>
        </w:rPr>
        <w:t xml:space="preserve">Das selbständige Erschließen des Märchens kann im Rahmen eines Lesetagebuches (vgl. Pflicht-, Wahlpflicht- und Wahlaufgaben) erfolgen. Das Lesetagebuch sollte in jedem Fall die Möglichkeit bieten, Märchenfiguren und Handlungsräume zu zeichnen oder zu malen. </w:t>
      </w:r>
    </w:p>
    <w:p w14:paraId="6ADD514C" w14:textId="77777777" w:rsidR="008D3EFE" w:rsidRPr="001E4C5C" w:rsidRDefault="008D3EFE" w:rsidP="008D3EFE">
      <w:pPr>
        <w:numPr>
          <w:ilvl w:val="0"/>
          <w:numId w:val="2"/>
        </w:numPr>
        <w:tabs>
          <w:tab w:val="left" w:pos="1410"/>
        </w:tabs>
        <w:ind w:left="426"/>
        <w:jc w:val="both"/>
        <w:rPr>
          <w:rFonts w:ascii="Century Gothic" w:hAnsi="Century Gothic"/>
        </w:rPr>
      </w:pPr>
      <w:r w:rsidRPr="001E4C5C">
        <w:rPr>
          <w:rFonts w:ascii="Century Gothic" w:hAnsi="Century Gothic"/>
        </w:rPr>
        <w:t>Nach der Phase der Lernzeit beginnt jeder Tag mit einer Märchenstunde. Alle Schülerinnen und Schüler präsentieren ihr Märchen – die gezeichneten Märchenfiguren und Handlungsräume unterstützen den Vortrag (z. B. durch Verwenden der Doku</w:t>
      </w:r>
      <w:r>
        <w:rPr>
          <w:rFonts w:ascii="Century Gothic" w:hAnsi="Century Gothic"/>
        </w:rPr>
        <w:t>mentenk</w:t>
      </w:r>
      <w:r w:rsidRPr="001E4C5C">
        <w:rPr>
          <w:rFonts w:ascii="Century Gothic" w:hAnsi="Century Gothic"/>
        </w:rPr>
        <w:t xml:space="preserve">amera). </w:t>
      </w:r>
    </w:p>
    <w:p w14:paraId="4784CA4B" w14:textId="77777777" w:rsidR="008D3EFE" w:rsidRPr="001E4C5C" w:rsidRDefault="008D3EFE" w:rsidP="008D3EFE">
      <w:pPr>
        <w:numPr>
          <w:ilvl w:val="0"/>
          <w:numId w:val="2"/>
        </w:numPr>
        <w:tabs>
          <w:tab w:val="left" w:pos="1410"/>
        </w:tabs>
        <w:ind w:left="426"/>
        <w:jc w:val="both"/>
        <w:rPr>
          <w:rFonts w:ascii="Century Gothic" w:hAnsi="Century Gothic"/>
        </w:rPr>
      </w:pPr>
      <w:r w:rsidRPr="001E4C5C">
        <w:rPr>
          <w:rFonts w:ascii="Century Gothic" w:hAnsi="Century Gothic"/>
        </w:rPr>
        <w:t xml:space="preserve">Das Herausstellen von Gemeinsamkeiten und Unterschieden führt zu einer vertiefenden Betrachtung – Gattungsmerkmale, mündliche Überlieferung... Dies sollte mit einem Wandplakat visualisiert werden. Die kulturelle Vielfalt in der Klasse findet so ihre Entsprechung an der Märchenwand (vgl. Lernumgebung). </w:t>
      </w:r>
    </w:p>
    <w:p w14:paraId="4C51787C" w14:textId="77777777" w:rsidR="008D3EFE" w:rsidRPr="001E4C5C" w:rsidRDefault="008D3EFE" w:rsidP="008D3EFE">
      <w:pPr>
        <w:numPr>
          <w:ilvl w:val="0"/>
          <w:numId w:val="2"/>
        </w:numPr>
        <w:tabs>
          <w:tab w:val="left" w:pos="1410"/>
        </w:tabs>
        <w:ind w:left="426"/>
        <w:jc w:val="both"/>
        <w:rPr>
          <w:rFonts w:ascii="Century Gothic" w:hAnsi="Century Gothic"/>
        </w:rPr>
      </w:pPr>
      <w:r w:rsidRPr="001E4C5C">
        <w:rPr>
          <w:rFonts w:ascii="Century Gothic" w:hAnsi="Century Gothic"/>
        </w:rPr>
        <w:t>Die Auswahl an internationalen Märchen kann gebunden als Textsammlung oder online auf der Schulhomepage zur Verfügung gestellt werden. Lehrkräfte aus anderen Klassen haben so auch die Möglichkeit, dies in ihrem Unterricht aufzugreifen.</w:t>
      </w:r>
    </w:p>
    <w:p w14:paraId="6C8813B2" w14:textId="77777777" w:rsidR="008D3EFE" w:rsidRPr="000B1C91" w:rsidRDefault="008D3EFE" w:rsidP="008D3EFE">
      <w:pPr>
        <w:tabs>
          <w:tab w:val="left" w:pos="1410"/>
        </w:tabs>
        <w:ind w:left="426"/>
        <w:jc w:val="both"/>
        <w:rPr>
          <w:rFonts w:ascii="Century Gothic" w:hAnsi="Century Gothic"/>
        </w:rPr>
      </w:pPr>
    </w:p>
    <w:p w14:paraId="3B688E06" w14:textId="77777777" w:rsidR="00B56DE2" w:rsidRDefault="00B56DE2"/>
    <w:p w14:paraId="351D477C" w14:textId="77777777" w:rsidR="00B56DE2" w:rsidRDefault="00444881">
      <w:pPr>
        <w:tabs>
          <w:tab w:val="left" w:pos="1410"/>
        </w:tabs>
      </w:pPr>
      <w:r>
        <w:tab/>
      </w:r>
    </w:p>
    <w:sectPr w:rsidR="00B56DE2">
      <w:footerReference w:type="default" r:id="rId7"/>
      <w:pgSz w:w="11906" w:h="16838"/>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E0012E" w14:textId="77777777" w:rsidR="00453CB8" w:rsidRDefault="00453CB8">
      <w:pPr>
        <w:spacing w:after="0" w:line="240" w:lineRule="auto"/>
      </w:pPr>
      <w:r>
        <w:separator/>
      </w:r>
    </w:p>
  </w:endnote>
  <w:endnote w:type="continuationSeparator" w:id="0">
    <w:p w14:paraId="23D2A7EB" w14:textId="77777777" w:rsidR="00453CB8" w:rsidRDefault="00453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A7B12" w14:textId="77777777" w:rsidR="00B56DE2" w:rsidRDefault="008D3EFE">
    <w:pPr>
      <w:pStyle w:val="Fuzeile"/>
    </w:pPr>
    <w:r>
      <w:rPr>
        <w:noProof/>
        <w:sz w:val="15"/>
      </w:rPr>
      <w:drawing>
        <wp:anchor distT="0" distB="0" distL="114300" distR="114300" simplePos="0" relativeHeight="251658240" behindDoc="0" locked="0" layoutInCell="1" allowOverlap="1" wp14:anchorId="20ED7D64" wp14:editId="51F02252">
          <wp:simplePos x="0" y="0"/>
          <wp:positionH relativeFrom="column">
            <wp:posOffset>3881755</wp:posOffset>
          </wp:positionH>
          <wp:positionV relativeFrom="paragraph">
            <wp:posOffset>-13335</wp:posOffset>
          </wp:positionV>
          <wp:extent cx="1857375" cy="350520"/>
          <wp:effectExtent l="0" t="0" r="9525" b="0"/>
          <wp:wrapSquare wrapText="bothSides"/>
          <wp:docPr id="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
                  <a:stretch/>
                </pic:blipFill>
                <pic:spPr bwMode="auto">
                  <a:xfrm>
                    <a:off x="0" y="0"/>
                    <a:ext cx="1857375"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881">
      <w:rPr>
        <w:noProof/>
      </w:rPr>
      <w:drawing>
        <wp:anchor distT="0" distB="0" distL="114300" distR="114300" simplePos="0" relativeHeight="251659264" behindDoc="0" locked="0" layoutInCell="1" allowOverlap="1" wp14:anchorId="04617816" wp14:editId="2A48A4BB">
          <wp:simplePos x="0" y="0"/>
          <wp:positionH relativeFrom="column">
            <wp:posOffset>-4445</wp:posOffset>
          </wp:positionH>
          <wp:positionV relativeFrom="paragraph">
            <wp:posOffset>-129540</wp:posOffset>
          </wp:positionV>
          <wp:extent cx="466725" cy="466725"/>
          <wp:effectExtent l="0" t="0" r="9525"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C524C" w14:textId="77777777" w:rsidR="00453CB8" w:rsidRDefault="00453CB8">
      <w:pPr>
        <w:spacing w:after="0" w:line="240" w:lineRule="auto"/>
      </w:pPr>
      <w:r>
        <w:separator/>
      </w:r>
    </w:p>
  </w:footnote>
  <w:footnote w:type="continuationSeparator" w:id="0">
    <w:p w14:paraId="138011AC" w14:textId="77777777" w:rsidR="00453CB8" w:rsidRDefault="00453C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458CD"/>
    <w:multiLevelType w:val="hybridMultilevel"/>
    <w:tmpl w:val="FCEECE92"/>
    <w:lvl w:ilvl="0" w:tplc="FFFFFFFF">
      <w:start w:val="1"/>
      <w:numFmt w:val="bullet"/>
      <w:lvlText w:val="Ä"/>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15:restartNumberingAfterBreak="0">
    <w:nsid w:val="32B056FC"/>
    <w:multiLevelType w:val="hybridMultilevel"/>
    <w:tmpl w:val="E36AE004"/>
    <w:lvl w:ilvl="0" w:tplc="4A46BC82">
      <w:start w:val="3"/>
      <w:numFmt w:val="decimal"/>
      <w:lvlText w:val="(%1)"/>
      <w:lvlJc w:val="left"/>
      <w:pPr>
        <w:ind w:left="1068" w:hanging="360"/>
      </w:pPr>
      <w:rPr>
        <w:rFonts w:hint="default"/>
      </w:rPr>
    </w:lvl>
    <w:lvl w:ilvl="1" w:tplc="823EFFB2">
      <w:start w:val="1"/>
      <w:numFmt w:val="bullet"/>
      <w:lvlText w:val="Ä"/>
      <w:lvlJc w:val="left"/>
      <w:pPr>
        <w:ind w:left="1440" w:hanging="360"/>
      </w:pPr>
      <w:rPr>
        <w:rFonts w:ascii="Wingdings" w:hAnsi="Wingdings" w:hint="default"/>
      </w:r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3768466A"/>
    <w:multiLevelType w:val="hybridMultilevel"/>
    <w:tmpl w:val="0CDC9C26"/>
    <w:lvl w:ilvl="0" w:tplc="04070015">
      <w:start w:val="1"/>
      <w:numFmt w:val="decimal"/>
      <w:lvlText w:val="(%1)"/>
      <w:lvlJc w:val="left"/>
      <w:pPr>
        <w:ind w:left="1068" w:hanging="360"/>
      </w:pPr>
      <w:rPr>
        <w:rFont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DE2"/>
    <w:rsid w:val="00444881"/>
    <w:rsid w:val="00453CB8"/>
    <w:rsid w:val="00603F58"/>
    <w:rsid w:val="008D3EFE"/>
    <w:rsid w:val="00AD49A1"/>
    <w:rsid w:val="00B56DE2"/>
    <w:rsid w:val="00EB65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7C9B0"/>
  <w15:docId w15:val="{68E8D959-7299-41E8-B682-237406D2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80"/>
      <w:outlineLvl w:val="0"/>
    </w:pPr>
    <w:rPr>
      <w:rFonts w:ascii="Arial" w:eastAsia="Arial" w:hAnsi="Arial" w:cs="Arial"/>
      <w:color w:val="2F5496" w:themeColor="accent1" w:themeShade="BF"/>
      <w:sz w:val="40"/>
      <w:szCs w:val="40"/>
    </w:rPr>
  </w:style>
  <w:style w:type="paragraph" w:styleId="berschrift2">
    <w:name w:val="heading 2"/>
    <w:basedOn w:val="Standard"/>
    <w:next w:val="Standard"/>
    <w:link w:val="berschrift2Zchn"/>
    <w:uiPriority w:val="9"/>
    <w:unhideWhenUsed/>
    <w:qFormat/>
    <w:pPr>
      <w:keepNext/>
      <w:keepLines/>
      <w:spacing w:before="160" w:after="80"/>
      <w:outlineLvl w:val="1"/>
    </w:pPr>
    <w:rPr>
      <w:rFonts w:ascii="Arial" w:eastAsia="Arial" w:hAnsi="Arial" w:cs="Arial"/>
      <w:color w:val="2F5496" w:themeColor="accent1" w:themeShade="BF"/>
      <w:sz w:val="32"/>
      <w:szCs w:val="32"/>
    </w:rPr>
  </w:style>
  <w:style w:type="paragraph" w:styleId="berschrift3">
    <w:name w:val="heading 3"/>
    <w:basedOn w:val="Standard"/>
    <w:next w:val="Standard"/>
    <w:link w:val="berschrift3Zchn"/>
    <w:uiPriority w:val="9"/>
    <w:unhideWhenUsed/>
    <w:qFormat/>
    <w:pPr>
      <w:keepNext/>
      <w:keepLines/>
      <w:spacing w:before="160" w:after="80"/>
      <w:outlineLvl w:val="2"/>
    </w:pPr>
    <w:rPr>
      <w:rFonts w:ascii="Arial" w:eastAsia="Arial" w:hAnsi="Arial" w:cs="Arial"/>
      <w:color w:val="2F5496"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ascii="Arial" w:eastAsia="Arial" w:hAnsi="Arial" w:cs="Arial"/>
      <w:i/>
      <w:iCs/>
      <w:color w:val="2F5496"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ascii="Arial" w:eastAsia="Arial" w:hAnsi="Arial" w:cs="Arial"/>
      <w:color w:val="2F5496"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Arial" w:eastAsia="Arial" w:hAnsi="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color w:val="2F5496"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2F5496"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2F5496"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2F5496" w:themeColor="accent1" w:themeShade="BF"/>
    </w:rPr>
  </w:style>
  <w:style w:type="character" w:customStyle="1" w:styleId="Heading5Char">
    <w:name w:val="Heading 5 Char"/>
    <w:basedOn w:val="Absatz-Standardschriftart"/>
    <w:uiPriority w:val="9"/>
    <w:rPr>
      <w:rFonts w:ascii="Arial" w:eastAsia="Arial" w:hAnsi="Arial" w:cs="Arial"/>
      <w:color w:val="2F5496"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character" w:customStyle="1" w:styleId="SubtitleChar">
    <w:name w:val="Subtitle Char"/>
    <w:basedOn w:val="Absatz-Standardschriftart"/>
    <w:uiPriority w:val="11"/>
    <w:rPr>
      <w:color w:val="595959" w:themeColor="text1" w:themeTint="A6"/>
      <w:spacing w:val="15"/>
      <w:sz w:val="28"/>
      <w:szCs w:val="28"/>
    </w:rPr>
  </w:style>
  <w:style w:type="character" w:customStyle="1" w:styleId="QuoteChar">
    <w:name w:val="Quote Char"/>
    <w:basedOn w:val="Absatz-Standardschriftart"/>
    <w:uiPriority w:val="29"/>
    <w:rPr>
      <w:i/>
      <w:iCs/>
      <w:color w:val="404040" w:themeColor="text1" w:themeTint="BF"/>
    </w:rPr>
  </w:style>
  <w:style w:type="character" w:customStyle="1" w:styleId="IntenseQuoteChar">
    <w:name w:val="Intense Quote Char"/>
    <w:basedOn w:val="Absatz-Standardschriftart"/>
    <w:uiPriority w:val="30"/>
    <w:rPr>
      <w:i/>
      <w:iCs/>
      <w:color w:val="2F5496" w:themeColor="accent1" w:themeShade="BF"/>
    </w:rPr>
  </w:style>
  <w:style w:type="character" w:customStyle="1" w:styleId="FootnoteTextChar">
    <w:name w:val="Footnote Text Char"/>
    <w:basedOn w:val="Absatz-Standardschriftart"/>
    <w:uiPriority w:val="99"/>
    <w:semiHidden/>
    <w:rPr>
      <w:sz w:val="20"/>
      <w:szCs w:val="20"/>
    </w:rPr>
  </w:style>
  <w:style w:type="character" w:customStyle="1" w:styleId="EndnoteTextChar">
    <w:name w:val="Endnote Text Char"/>
    <w:basedOn w:val="Absatz-Standardschriftart"/>
    <w:uiPriority w:val="99"/>
    <w:semiHidden/>
    <w:rPr>
      <w:sz w:val="20"/>
      <w:szCs w:val="20"/>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berschrift1Zchn">
    <w:name w:val="Überschrift 1 Zchn"/>
    <w:basedOn w:val="Absatz-Standardschriftart"/>
    <w:link w:val="berschrift1"/>
    <w:uiPriority w:val="9"/>
    <w:rPr>
      <w:rFonts w:ascii="Arial" w:eastAsia="Arial" w:hAnsi="Arial" w:cs="Arial"/>
      <w:color w:val="2F5496" w:themeColor="accent1" w:themeShade="BF"/>
      <w:sz w:val="40"/>
      <w:szCs w:val="40"/>
    </w:rPr>
  </w:style>
  <w:style w:type="character" w:customStyle="1" w:styleId="berschrift2Zchn">
    <w:name w:val="Überschrift 2 Zchn"/>
    <w:basedOn w:val="Absatz-Standardschriftart"/>
    <w:link w:val="berschrift2"/>
    <w:uiPriority w:val="9"/>
    <w:rPr>
      <w:rFonts w:ascii="Arial" w:eastAsia="Arial" w:hAnsi="Arial" w:cs="Arial"/>
      <w:color w:val="2F5496" w:themeColor="accent1" w:themeShade="BF"/>
      <w:sz w:val="32"/>
      <w:szCs w:val="32"/>
    </w:rPr>
  </w:style>
  <w:style w:type="character" w:customStyle="1" w:styleId="berschrift3Zchn">
    <w:name w:val="Überschrift 3 Zchn"/>
    <w:basedOn w:val="Absatz-Standardschriftart"/>
    <w:link w:val="berschrift3"/>
    <w:uiPriority w:val="9"/>
    <w:rPr>
      <w:rFonts w:ascii="Arial" w:eastAsia="Arial" w:hAnsi="Arial" w:cs="Arial"/>
      <w:color w:val="2F5496" w:themeColor="accent1" w:themeShade="BF"/>
      <w:sz w:val="28"/>
      <w:szCs w:val="28"/>
    </w:rPr>
  </w:style>
  <w:style w:type="character" w:customStyle="1" w:styleId="berschrift4Zchn">
    <w:name w:val="Überschrift 4 Zchn"/>
    <w:basedOn w:val="Absatz-Standardschriftart"/>
    <w:link w:val="berschrift4"/>
    <w:uiPriority w:val="9"/>
    <w:rPr>
      <w:rFonts w:ascii="Arial" w:eastAsia="Arial" w:hAnsi="Arial" w:cs="Arial"/>
      <w:i/>
      <w:iCs/>
      <w:color w:val="2F5496" w:themeColor="accent1" w:themeShade="BF"/>
    </w:rPr>
  </w:style>
  <w:style w:type="character" w:customStyle="1" w:styleId="berschrift5Zchn">
    <w:name w:val="Überschrift 5 Zchn"/>
    <w:basedOn w:val="Absatz-Standardschriftart"/>
    <w:link w:val="berschrift5"/>
    <w:uiPriority w:val="9"/>
    <w:rPr>
      <w:rFonts w:ascii="Arial" w:eastAsia="Arial" w:hAnsi="Arial" w:cs="Arial"/>
      <w:color w:val="2F5496"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Arial" w:eastAsia="Arial" w:hAnsi="Arial" w:cs="Arial"/>
      <w:spacing w:val="-10"/>
      <w:sz w:val="56"/>
      <w:szCs w:val="56"/>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Hyperlink">
    <w:name w:val="Hyperlink"/>
    <w:basedOn w:val="Absatz-Standardschriftart"/>
    <w:uiPriority w:val="99"/>
    <w:unhideWhenUsed/>
    <w:rPr>
      <w:color w:val="0563C1" w:themeColor="hyperlink"/>
      <w:u w:val="single"/>
    </w:rPr>
  </w:style>
  <w:style w:type="character" w:styleId="BesuchterLink">
    <w:name w:val="FollowedHyperlink"/>
    <w:basedOn w:val="Absatz-Standardschriftart"/>
    <w:uiPriority w:val="99"/>
    <w:semiHidden/>
    <w:unhideWhenUsed/>
    <w:rPr>
      <w:color w:val="954F72" w:themeColor="followedHyperlink"/>
      <w:u w:val="singl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291</Words>
  <Characters>1837</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Schlamp-Diekmann</dc:creator>
  <cp:keywords/>
  <dc:description/>
  <cp:lastModifiedBy>Ludwig, Daniela</cp:lastModifiedBy>
  <cp:revision>2</cp:revision>
  <cp:lastPrinted>2025-03-20T08:11:00Z</cp:lastPrinted>
  <dcterms:created xsi:type="dcterms:W3CDTF">2025-03-20T08:11:00Z</dcterms:created>
  <dcterms:modified xsi:type="dcterms:W3CDTF">2025-03-20T08:11:00Z</dcterms:modified>
</cp:coreProperties>
</file>